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FEA63" w14:textId="040A5205" w:rsidR="00827EF8" w:rsidRPr="00827EF8" w:rsidRDefault="00827EF8" w:rsidP="00827EF8">
      <w:pPr>
        <w:pStyle w:val="Sinespaciado"/>
        <w:jc w:val="center"/>
        <w:rPr>
          <w:rFonts w:asciiTheme="minorHAnsi" w:hAnsiTheme="minorHAnsi" w:cstheme="minorHAnsi"/>
          <w:b/>
          <w:bCs/>
          <w:color w:val="002465"/>
          <w:sz w:val="28"/>
          <w:szCs w:val="28"/>
          <w:lang w:val="es-MX"/>
        </w:rPr>
      </w:pPr>
      <w:r w:rsidRPr="00827EF8">
        <w:rPr>
          <w:rFonts w:asciiTheme="minorHAnsi" w:hAnsiTheme="minorHAnsi" w:cstheme="minorHAnsi"/>
          <w:b/>
          <w:bCs/>
          <w:color w:val="002465"/>
          <w:sz w:val="28"/>
          <w:szCs w:val="28"/>
          <w:lang w:val="es-MX"/>
        </w:rPr>
        <w:t>CONSEJOS CIUDADANOS SECTORIALES</w:t>
      </w:r>
    </w:p>
    <w:p w14:paraId="6755108B" w14:textId="77777777" w:rsidR="00827EF8" w:rsidRPr="00827EF8" w:rsidRDefault="00827EF8" w:rsidP="00827EF8">
      <w:pPr>
        <w:pStyle w:val="Sinespaciado"/>
        <w:jc w:val="center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</w:p>
    <w:p w14:paraId="269A0F85" w14:textId="40310C41" w:rsidR="009051B9" w:rsidRPr="00827EF8" w:rsidRDefault="009051B9" w:rsidP="00EF2115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827EF8">
        <w:rPr>
          <w:rFonts w:asciiTheme="minorHAnsi" w:hAnsiTheme="minorHAnsi" w:cstheme="minorHAnsi"/>
          <w:sz w:val="24"/>
          <w:szCs w:val="24"/>
          <w:lang w:val="es-MX"/>
        </w:rPr>
        <w:t>La Constitución de la República del Ecuador consagra el derecho a la participación de los ciudadanos y ciudadanas en los asuntos de interés incluidos aquellos domiciliados en el exterior, en forma individual y colectiva, participarán de manera protagónica en la toma de decisiones, planificación y gestión de los asuntos públicos, en el control popular de las instituciones del Estado, la sociedad, y de sus representantes, en un proceso permanente de construcción del poder ciudadano. En su artículo 279 establece que:</w:t>
      </w:r>
      <w:r w:rsidRPr="00827EF8">
        <w:rPr>
          <w:rFonts w:asciiTheme="minorHAnsi" w:hAnsiTheme="minorHAnsi" w:cstheme="minorHAnsi"/>
          <w:i/>
          <w:color w:val="040404"/>
          <w:sz w:val="24"/>
          <w:szCs w:val="24"/>
        </w:rPr>
        <w:t xml:space="preserve"> […] “Los consejos ciudadanos serán instancias de deliberación y generación de lineamientos y consensos estratégicos de largo plazo, que orientarán el desarrollo nacional.”</w:t>
      </w:r>
    </w:p>
    <w:p w14:paraId="51A916BC" w14:textId="77777777" w:rsidR="00EF2115" w:rsidRPr="00827EF8" w:rsidRDefault="00EF2115" w:rsidP="009051B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C"/>
        </w:rPr>
      </w:pPr>
    </w:p>
    <w:p w14:paraId="0193EEC3" w14:textId="11219DA2" w:rsidR="009051B9" w:rsidRPr="00827EF8" w:rsidRDefault="009051B9" w:rsidP="009051B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C"/>
        </w:rPr>
      </w:pPr>
      <w:r w:rsidRPr="00827EF8">
        <w:rPr>
          <w:rFonts w:eastAsia="Times New Roman" w:cstheme="minorHAnsi"/>
          <w:sz w:val="24"/>
          <w:szCs w:val="24"/>
          <w:lang w:eastAsia="es-EC"/>
        </w:rPr>
        <w:t xml:space="preserve">Mediante el Art. 52 de la Ley Orgánica de Participación Ciudadana indica que: </w:t>
      </w:r>
      <w:r w:rsidRPr="00827EF8">
        <w:rPr>
          <w:rFonts w:eastAsia="Times New Roman" w:cstheme="minorHAnsi"/>
          <w:i/>
          <w:iCs/>
          <w:sz w:val="24"/>
          <w:szCs w:val="24"/>
          <w:lang w:eastAsia="es-EC"/>
        </w:rPr>
        <w:t>“Los consejos ciudadanos sectoriales son instancias sectoriales de diálogo, deliberación y seguimiento de las políticas públicas de carácter nacional y sectorial; constituyen un mecanismo para la discusión de los lineamientos y seguimiento de la evolución de las políticas ministeriales. Serán impulsados por la Función Ejecutiva y se desempeñarán como redes de participación de la sociedad civil articuladas a los ministerios sectoriales”.</w:t>
      </w:r>
    </w:p>
    <w:p w14:paraId="233B6D1B" w14:textId="2245F4F8" w:rsidR="009051B9" w:rsidRPr="00827EF8" w:rsidRDefault="009051B9" w:rsidP="009051B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C"/>
        </w:rPr>
      </w:pPr>
    </w:p>
    <w:p w14:paraId="0020ED0E" w14:textId="77777777" w:rsidR="00EF2115" w:rsidRPr="00827EF8" w:rsidRDefault="00EF2115" w:rsidP="00EF21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827EF8">
        <w:rPr>
          <w:rFonts w:cstheme="minorHAnsi"/>
          <w:bCs/>
          <w:sz w:val="24"/>
          <w:szCs w:val="24"/>
        </w:rPr>
        <w:t>El Art. 1 del Decreto Ejecutivo No. 656 de 13 de abril de 2015 expresa que</w:t>
      </w:r>
      <w:r w:rsidRPr="00827EF8">
        <w:rPr>
          <w:rFonts w:cstheme="minorHAnsi"/>
          <w:bCs/>
          <w:i/>
          <w:iCs/>
          <w:sz w:val="24"/>
          <w:szCs w:val="24"/>
        </w:rPr>
        <w:t>: "el presente reglamento tiene por objeto establecer el marco regulatorio para la conformación y funcionamiento de los consejos ciudadanos sectoriales, como instancias de diálogo, deliberación, seguimiento y evaluación de las políticas públicas de carácter sectorial y el mecanismo para la discusión de los lineamientos y seguimiento de la evolución de las políticas ministeriales, en garantía del derecho a la participación ciudadana en los asuntos de interés público (...)”;</w:t>
      </w:r>
    </w:p>
    <w:p w14:paraId="70D395A6" w14:textId="1B5C57A9" w:rsidR="00EF2115" w:rsidRPr="00827EF8" w:rsidRDefault="00EF2115" w:rsidP="009051B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C"/>
        </w:rPr>
      </w:pPr>
    </w:p>
    <w:p w14:paraId="2FF39EC9" w14:textId="77777777" w:rsidR="00EF2115" w:rsidRPr="00827EF8" w:rsidRDefault="00EF2115" w:rsidP="00EF21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27EF8">
        <w:rPr>
          <w:rFonts w:cstheme="minorHAnsi"/>
          <w:bCs/>
          <w:sz w:val="24"/>
          <w:szCs w:val="24"/>
        </w:rPr>
        <w:t>Mediante Decreto Ejecutivo Nro. 608 de fecha 29 de noviembre de 2022, se transfiere la competencia de movimientos, organizaciones, actores sociales, de cultos, libertad de religión, creencia y conciencia de la Secretaría de Derechos Humanos al Ministerio de Gobierno, para fortalecer las atribuciones del Ministerio en materia de gobernabilidad y gestión política para su correcto funcionamiento y cumplimiento de sus objetivos institucionales.</w:t>
      </w:r>
    </w:p>
    <w:p w14:paraId="301F5139" w14:textId="77777777" w:rsidR="00EF2115" w:rsidRPr="00827EF8" w:rsidRDefault="00EF2115" w:rsidP="00EF21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p w14:paraId="3C7BC722" w14:textId="77777777" w:rsidR="00EF2115" w:rsidRPr="00827EF8" w:rsidRDefault="00EF2115" w:rsidP="00EF21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827EF8">
        <w:rPr>
          <w:rFonts w:cstheme="minorHAnsi"/>
          <w:bCs/>
          <w:sz w:val="24"/>
          <w:szCs w:val="24"/>
        </w:rPr>
        <w:t>En el Art. 3 ibidem, establece</w:t>
      </w:r>
      <w:r w:rsidRPr="00827EF8">
        <w:rPr>
          <w:rFonts w:cstheme="minorHAnsi"/>
          <w:bCs/>
          <w:i/>
          <w:iCs/>
          <w:sz w:val="24"/>
          <w:szCs w:val="24"/>
        </w:rPr>
        <w:t>: “De conformidad con lo dispuesto en el artículo anterior, el Ministerio de Gobierno en materia de movimientos, organizaciones, actores sociales, cultos, libertad de religión, creencia y conciencia, ejercerá las siguientes atribuciones: Numeral 6: Generar mecanismos para fomentar la participación activa de los movimientos, organizaciones y actores sociales en la generación de políticas, programas y proyectos en función de lo establecido en la Ley Orgánica de Participación Ciudadana y su reglamento, en el ámbito de las competencias asignadas a la Función Ejecutiva.”.</w:t>
      </w:r>
    </w:p>
    <w:p w14:paraId="409BB175" w14:textId="77777777" w:rsidR="00EF2115" w:rsidRPr="00827EF8" w:rsidRDefault="00EF2115" w:rsidP="009051B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C"/>
        </w:rPr>
      </w:pPr>
    </w:p>
    <w:p w14:paraId="39D57C7A" w14:textId="77777777" w:rsidR="009051B9" w:rsidRPr="00327036" w:rsidRDefault="009051B9" w:rsidP="009051B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C"/>
        </w:rPr>
      </w:pPr>
      <w:r w:rsidRPr="00327036">
        <w:rPr>
          <w:rFonts w:eastAsia="Times New Roman" w:cstheme="minorHAnsi"/>
          <w:b/>
          <w:bCs/>
          <w:sz w:val="24"/>
          <w:szCs w:val="24"/>
          <w:lang w:eastAsia="es-EC"/>
        </w:rPr>
        <w:t>El Ministerio de Gobierno a través de la Subsecretaría de Movimientos Sociales y Libertad de Cultos, Creencia y Conciencia, está brindando asistencia técnica para el Proceso de Conformación de Consejos Ciudadanos Sectoriales: y, para el funcionamiento y fortalecimiento de los Consejos Ciudadanos Sectoriales conformados.</w:t>
      </w:r>
    </w:p>
    <w:p w14:paraId="423B4C6D" w14:textId="77777777" w:rsidR="0051442E" w:rsidRPr="00327036" w:rsidRDefault="0051442E" w:rsidP="0051442E">
      <w:pPr>
        <w:jc w:val="both"/>
        <w:rPr>
          <w:rFonts w:eastAsia="Times New Roman" w:cstheme="minorHAnsi"/>
          <w:b/>
          <w:bCs/>
          <w:sz w:val="24"/>
          <w:szCs w:val="24"/>
          <w:lang w:eastAsia="es-EC"/>
        </w:rPr>
      </w:pPr>
    </w:p>
    <w:p w14:paraId="1A7202C8" w14:textId="4E4EDB2E" w:rsidR="0051442E" w:rsidRPr="00827EF8" w:rsidRDefault="0051442E" w:rsidP="0051442E">
      <w:pPr>
        <w:jc w:val="both"/>
        <w:rPr>
          <w:rFonts w:eastAsia="Times New Roman" w:cstheme="minorHAnsi"/>
          <w:sz w:val="24"/>
          <w:szCs w:val="24"/>
          <w:lang w:eastAsia="es-EC"/>
        </w:rPr>
      </w:pPr>
      <w:r w:rsidRPr="00827EF8">
        <w:rPr>
          <w:rFonts w:eastAsia="Times New Roman" w:cstheme="minorHAnsi"/>
          <w:sz w:val="24"/>
          <w:szCs w:val="24"/>
          <w:lang w:eastAsia="es-EC"/>
        </w:rPr>
        <w:t>El Ministerio de Gobierno tiene como Indicador Institucional establecido en el Plan Nacional del Buen Vivir 2024-2025: “Porcentaje de Consejos Ciudadanos Sectoriales (CCS) conformados”.</w:t>
      </w:r>
    </w:p>
    <w:sectPr w:rsidR="0051442E" w:rsidRPr="00827EF8" w:rsidSect="00827EF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C100B" w14:textId="77777777" w:rsidR="007919AD" w:rsidRDefault="007919AD" w:rsidP="00D07AE3">
      <w:pPr>
        <w:spacing w:after="0" w:line="240" w:lineRule="auto"/>
      </w:pPr>
      <w:r>
        <w:separator/>
      </w:r>
    </w:p>
  </w:endnote>
  <w:endnote w:type="continuationSeparator" w:id="0">
    <w:p w14:paraId="65949993" w14:textId="77777777" w:rsidR="007919AD" w:rsidRDefault="007919AD" w:rsidP="00D0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0F309172F13845B793E3C7BB39ECDFD1"/>
      </w:placeholder>
      <w:temporary/>
      <w:showingPlcHdr/>
      <w15:appearance w15:val="hidden"/>
    </w:sdtPr>
    <w:sdtContent>
      <w:p w14:paraId="794ACD45" w14:textId="77777777" w:rsidR="00D07AE3" w:rsidRDefault="00D07AE3">
        <w:pPr>
          <w:pStyle w:val="Piedepgina"/>
        </w:pPr>
        <w:r>
          <w:rPr>
            <w:lang w:val="es-ES"/>
          </w:rPr>
          <w:t>[Escriba aquí]</w:t>
        </w:r>
      </w:p>
    </w:sdtContent>
  </w:sdt>
  <w:p w14:paraId="73B24F72" w14:textId="45D30C56" w:rsidR="00D07AE3" w:rsidRDefault="00D07AE3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8D121D" wp14:editId="108D974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690485" cy="1421130"/>
          <wp:effectExtent l="0" t="0" r="0" b="0"/>
          <wp:wrapSquare wrapText="bothSides"/>
          <wp:docPr id="693781279" name="Imagen 693781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485" cy="142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F7E8B" w14:textId="77777777" w:rsidR="007919AD" w:rsidRDefault="007919AD" w:rsidP="00D07AE3">
      <w:pPr>
        <w:spacing w:after="0" w:line="240" w:lineRule="auto"/>
      </w:pPr>
      <w:r>
        <w:separator/>
      </w:r>
    </w:p>
  </w:footnote>
  <w:footnote w:type="continuationSeparator" w:id="0">
    <w:p w14:paraId="770583E7" w14:textId="77777777" w:rsidR="007919AD" w:rsidRDefault="007919AD" w:rsidP="00D0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86F2" w14:textId="38600BB1" w:rsidR="00D07AE3" w:rsidRDefault="00D07AE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041CF5" wp14:editId="64BEFA6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8405" cy="1397000"/>
          <wp:effectExtent l="0" t="0" r="0" b="0"/>
          <wp:wrapSquare wrapText="bothSides"/>
          <wp:docPr id="704288031" name="Imagen 704288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2019B" w14:textId="77777777" w:rsidR="00D07AE3" w:rsidRDefault="00D07A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B9"/>
    <w:rsid w:val="00197395"/>
    <w:rsid w:val="00327036"/>
    <w:rsid w:val="0051442E"/>
    <w:rsid w:val="00611103"/>
    <w:rsid w:val="007919AD"/>
    <w:rsid w:val="00827EF8"/>
    <w:rsid w:val="008F39C3"/>
    <w:rsid w:val="009051B9"/>
    <w:rsid w:val="00B20182"/>
    <w:rsid w:val="00C037B8"/>
    <w:rsid w:val="00C04249"/>
    <w:rsid w:val="00D07AE3"/>
    <w:rsid w:val="00E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3AB9A"/>
  <w15:chartTrackingRefBased/>
  <w15:docId w15:val="{77DB3C6D-BE18-4D9D-8844-4F845001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051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9051B9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07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AE3"/>
  </w:style>
  <w:style w:type="paragraph" w:styleId="Piedepgina">
    <w:name w:val="footer"/>
    <w:basedOn w:val="Normal"/>
    <w:link w:val="PiedepginaCar"/>
    <w:uiPriority w:val="99"/>
    <w:unhideWhenUsed/>
    <w:rsid w:val="00D07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309172F13845B793E3C7BB39EC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A9D2E-63C6-4AB0-91F8-BDC32D36F21F}"/>
      </w:docPartPr>
      <w:docPartBody>
        <w:p w:rsidR="00E54475" w:rsidRDefault="00C87D6C" w:rsidP="00C87D6C">
          <w:pPr>
            <w:pStyle w:val="0F309172F13845B793E3C7BB39ECDFD1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6C"/>
    <w:rsid w:val="00197395"/>
    <w:rsid w:val="00517488"/>
    <w:rsid w:val="00611103"/>
    <w:rsid w:val="00C87D6C"/>
    <w:rsid w:val="00E54475"/>
    <w:rsid w:val="00F9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F309172F13845B793E3C7BB39ECDFD1">
    <w:name w:val="0F309172F13845B793E3C7BB39ECDFD1"/>
    <w:rsid w:val="00C87D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CCE2-39A2-421C-B3FD-D543E462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Lopez Montenegro</dc:creator>
  <cp:keywords/>
  <dc:description/>
  <cp:lastModifiedBy>Silvana Carolina Silva Arroba</cp:lastModifiedBy>
  <cp:revision>4</cp:revision>
  <dcterms:created xsi:type="dcterms:W3CDTF">2024-06-26T16:13:00Z</dcterms:created>
  <dcterms:modified xsi:type="dcterms:W3CDTF">2024-06-26T16:35:00Z</dcterms:modified>
</cp:coreProperties>
</file>